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620A5" w:rsidRDefault="008B5DD4">
      <w:pPr>
        <w:rPr>
          <w:u w:val="single"/>
        </w:rPr>
      </w:pPr>
      <w:r>
        <w:rPr>
          <w:u w:val="single"/>
        </w:rPr>
        <w:t>Old business</w:t>
      </w:r>
    </w:p>
    <w:p w14:paraId="00000002" w14:textId="77777777" w:rsidR="002620A5" w:rsidRDefault="008B5DD4">
      <w:pPr>
        <w:numPr>
          <w:ilvl w:val="0"/>
          <w:numId w:val="1"/>
        </w:numPr>
        <w:ind w:left="360"/>
      </w:pPr>
      <w:r>
        <w:t>Ratification of Judy's proposed amendment to the bylaws regarding Board member eligibility as proposed by Judy for the June 2017 Board meeting and approved (as revised) at the June 2018 Board meeting:</w:t>
      </w:r>
    </w:p>
    <w:p w14:paraId="00000003" w14:textId="77777777" w:rsidR="002620A5" w:rsidRDefault="002620A5"/>
    <w:p w14:paraId="00000004" w14:textId="77777777" w:rsidR="002620A5" w:rsidRDefault="008B5DD4">
      <w:r>
        <w:t>Article 4, Section 20, Board eligibility:</w:t>
      </w:r>
    </w:p>
    <w:p w14:paraId="00000005" w14:textId="77777777" w:rsidR="002620A5" w:rsidRDefault="008B5DD4">
      <w:r>
        <w:t>Expand eligi</w:t>
      </w:r>
      <w:r>
        <w:t>bility for the Board such that the following persons may be considered:</w:t>
      </w:r>
    </w:p>
    <w:p w14:paraId="00000006" w14:textId="77777777" w:rsidR="002620A5" w:rsidRDefault="008B5DD4">
      <w:pPr>
        <w:numPr>
          <w:ilvl w:val="0"/>
          <w:numId w:val="2"/>
        </w:numPr>
      </w:pPr>
      <w:r>
        <w:t xml:space="preserve">Persons who have been ordained </w:t>
      </w:r>
      <w:r>
        <w:rPr>
          <w:strike/>
        </w:rPr>
        <w:t xml:space="preserve">as priest </w:t>
      </w:r>
      <w:r>
        <w:t xml:space="preserve">in the lineage of </w:t>
      </w:r>
      <w:proofErr w:type="spellStart"/>
      <w:r>
        <w:t>Kobun</w:t>
      </w:r>
      <w:proofErr w:type="spellEnd"/>
      <w:r>
        <w:t xml:space="preserve"> Chino </w:t>
      </w:r>
      <w:proofErr w:type="spellStart"/>
      <w:r>
        <w:t>Otogawa</w:t>
      </w:r>
      <w:proofErr w:type="spellEnd"/>
      <w:r>
        <w:t>,</w:t>
      </w:r>
    </w:p>
    <w:p w14:paraId="00000007" w14:textId="77777777" w:rsidR="002620A5" w:rsidRDefault="008B5DD4">
      <w:pPr>
        <w:numPr>
          <w:ilvl w:val="0"/>
          <w:numId w:val="2"/>
        </w:numPr>
      </w:pPr>
      <w:r>
        <w:t xml:space="preserve">Persons who, in the opinion of the Board, would make an especially valuable contribution to </w:t>
      </w:r>
      <w:proofErr w:type="spellStart"/>
      <w:r>
        <w:t>Jikoji</w:t>
      </w:r>
      <w:proofErr w:type="spellEnd"/>
      <w:r>
        <w:t xml:space="preserve"> as a </w:t>
      </w:r>
      <w:r>
        <w:t>member of the Board.</w:t>
      </w:r>
    </w:p>
    <w:p w14:paraId="00000008" w14:textId="77777777" w:rsidR="002620A5" w:rsidRDefault="002620A5"/>
    <w:p w14:paraId="00000009" w14:textId="77777777" w:rsidR="002620A5" w:rsidRDefault="008B5DD4">
      <w:pPr>
        <w:rPr>
          <w:u w:val="single"/>
        </w:rPr>
      </w:pPr>
      <w:r>
        <w:rPr>
          <w:u w:val="single"/>
        </w:rPr>
        <w:t>Committee Reports</w:t>
      </w:r>
    </w:p>
    <w:p w14:paraId="240110D8" w14:textId="77777777" w:rsidR="0005484A" w:rsidRDefault="0005484A" w:rsidP="0005484A">
      <w:pPr>
        <w:numPr>
          <w:ilvl w:val="0"/>
          <w:numId w:val="1"/>
        </w:numPr>
        <w:pBdr>
          <w:top w:val="nil"/>
          <w:left w:val="nil"/>
          <w:bottom w:val="nil"/>
          <w:right w:val="nil"/>
          <w:between w:val="nil"/>
        </w:pBdr>
        <w:ind w:left="360"/>
      </w:pPr>
      <w:r>
        <w:t>Mike N to report on the new management policy.</w:t>
      </w:r>
    </w:p>
    <w:p w14:paraId="57EFE850" w14:textId="77777777" w:rsidR="0005484A" w:rsidRDefault="0005484A" w:rsidP="0005484A">
      <w:pPr>
        <w:numPr>
          <w:ilvl w:val="1"/>
          <w:numId w:val="1"/>
        </w:numPr>
        <w:pBdr>
          <w:top w:val="nil"/>
          <w:left w:val="nil"/>
          <w:bottom w:val="nil"/>
          <w:right w:val="nil"/>
          <w:between w:val="nil"/>
        </w:pBdr>
        <w:ind w:left="720"/>
      </w:pPr>
      <w:r>
        <w:t>Managers (duties, terms, initial appointees)</w:t>
      </w:r>
    </w:p>
    <w:p w14:paraId="29B02798" w14:textId="77777777" w:rsidR="0005484A" w:rsidRDefault="0005484A" w:rsidP="0005484A">
      <w:pPr>
        <w:numPr>
          <w:ilvl w:val="1"/>
          <w:numId w:val="1"/>
        </w:numPr>
        <w:pBdr>
          <w:top w:val="nil"/>
          <w:left w:val="nil"/>
          <w:bottom w:val="nil"/>
          <w:right w:val="nil"/>
          <w:between w:val="nil"/>
        </w:pBdr>
        <w:ind w:left="720"/>
      </w:pPr>
      <w:r>
        <w:t xml:space="preserve">Procedures </w:t>
      </w:r>
    </w:p>
    <w:p w14:paraId="65EBC696" w14:textId="77777777" w:rsidR="0005484A" w:rsidRDefault="0005484A" w:rsidP="0005484A">
      <w:pPr>
        <w:numPr>
          <w:ilvl w:val="1"/>
          <w:numId w:val="1"/>
        </w:numPr>
        <w:pBdr>
          <w:top w:val="nil"/>
          <w:left w:val="nil"/>
          <w:bottom w:val="nil"/>
          <w:right w:val="nil"/>
          <w:between w:val="nil"/>
        </w:pBdr>
        <w:ind w:left="720"/>
      </w:pPr>
      <w:r>
        <w:t>Results to date</w:t>
      </w:r>
    </w:p>
    <w:p w14:paraId="212E5690" w14:textId="77777777" w:rsidR="0005484A" w:rsidRDefault="0005484A" w:rsidP="0005484A">
      <w:pPr>
        <w:ind w:left="720"/>
      </w:pPr>
    </w:p>
    <w:p w14:paraId="0000000A" w14:textId="77777777" w:rsidR="002620A5" w:rsidRDefault="008B5DD4">
      <w:pPr>
        <w:numPr>
          <w:ilvl w:val="0"/>
          <w:numId w:val="1"/>
        </w:numPr>
        <w:pBdr>
          <w:top w:val="nil"/>
          <w:left w:val="nil"/>
          <w:bottom w:val="nil"/>
          <w:right w:val="nil"/>
          <w:between w:val="nil"/>
        </w:pBdr>
        <w:ind w:left="360"/>
      </w:pPr>
      <w:r>
        <w:t>Bryan/ Jim to report on new conflict resolution policy</w:t>
      </w:r>
    </w:p>
    <w:p w14:paraId="0000000B" w14:textId="77777777" w:rsidR="002620A5" w:rsidRDefault="008B5DD4">
      <w:pPr>
        <w:pBdr>
          <w:top w:val="nil"/>
          <w:left w:val="nil"/>
          <w:bottom w:val="nil"/>
          <w:right w:val="nil"/>
          <w:between w:val="nil"/>
        </w:pBdr>
        <w:ind w:left="360"/>
      </w:pPr>
      <w:r>
        <w:t>At the December meeting Bryan said a written policy would be forthcoming this spring, including written procedures to be posted where</w:t>
      </w:r>
      <w:bookmarkStart w:id="0" w:name="_GoBack"/>
      <w:bookmarkEnd w:id="0"/>
      <w:r>
        <w:t xml:space="preserve"> they can be easily be seen.</w:t>
      </w:r>
    </w:p>
    <w:p w14:paraId="0000000C" w14:textId="77777777" w:rsidR="002620A5" w:rsidRDefault="002620A5">
      <w:pPr>
        <w:pBdr>
          <w:top w:val="nil"/>
          <w:left w:val="nil"/>
          <w:bottom w:val="nil"/>
          <w:right w:val="nil"/>
          <w:between w:val="nil"/>
        </w:pBdr>
        <w:ind w:left="360"/>
      </w:pPr>
    </w:p>
    <w:p w14:paraId="00000012" w14:textId="77777777" w:rsidR="002620A5" w:rsidRDefault="008B5DD4">
      <w:r>
        <w:rPr>
          <w:u w:val="single"/>
        </w:rPr>
        <w:t>New Business</w:t>
      </w:r>
    </w:p>
    <w:p w14:paraId="00000013" w14:textId="77777777" w:rsidR="002620A5" w:rsidRDefault="008B5DD4">
      <w:r>
        <w:t xml:space="preserve">Per Hollis’s 3/8/2019 email ("I informed the </w:t>
      </w:r>
      <w:proofErr w:type="spellStart"/>
      <w:r>
        <w:t>Jikoji</w:t>
      </w:r>
      <w:proofErr w:type="spellEnd"/>
      <w:r>
        <w:t xml:space="preserve"> Board Meeting last June … that I agree to the Policy with those changes"), she would support the Ethics and Conflict Resolution Policy proposed for December 2017 Board approval, subject to specific revisi</w:t>
      </w:r>
      <w:r>
        <w:t xml:space="preserve">ons. </w:t>
      </w:r>
      <w:r>
        <w:br/>
      </w:r>
    </w:p>
    <w:p w14:paraId="00000014" w14:textId="1D9BD091" w:rsidR="002620A5" w:rsidRDefault="008B5DD4">
      <w:pPr>
        <w:numPr>
          <w:ilvl w:val="0"/>
          <w:numId w:val="1"/>
        </w:numPr>
        <w:pBdr>
          <w:top w:val="nil"/>
          <w:left w:val="nil"/>
          <w:bottom w:val="nil"/>
          <w:right w:val="nil"/>
          <w:between w:val="nil"/>
        </w:pBdr>
        <w:ind w:left="360"/>
      </w:pPr>
      <w:r>
        <w:t>Approve the 2017 Ethics and Conflict Resolution Policy, as revised</w:t>
      </w:r>
      <w:r>
        <w:t xml:space="preserve">. </w:t>
      </w:r>
      <w:r>
        <w:br/>
      </w:r>
    </w:p>
    <w:p w14:paraId="00000015" w14:textId="77777777" w:rsidR="002620A5" w:rsidRDefault="008B5DD4">
      <w:pPr>
        <w:rPr>
          <w:u w:val="single"/>
        </w:rPr>
      </w:pPr>
      <w:r>
        <w:rPr>
          <w:u w:val="single"/>
        </w:rPr>
        <w:t>Discussion</w:t>
      </w:r>
    </w:p>
    <w:p w14:paraId="00000016" w14:textId="77777777" w:rsidR="002620A5" w:rsidRDefault="008B5DD4">
      <w:pPr>
        <w:numPr>
          <w:ilvl w:val="0"/>
          <w:numId w:val="1"/>
        </w:numPr>
        <w:pBdr>
          <w:top w:val="nil"/>
          <w:left w:val="nil"/>
          <w:bottom w:val="nil"/>
          <w:right w:val="nil"/>
          <w:between w:val="nil"/>
        </w:pBdr>
        <w:ind w:left="360"/>
      </w:pPr>
      <w:r>
        <w:t>Fiduciary responsibilities of a non-profit board</w:t>
      </w:r>
    </w:p>
    <w:p w14:paraId="00000017" w14:textId="77777777" w:rsidR="002620A5" w:rsidRDefault="008B5DD4">
      <w:pPr>
        <w:pBdr>
          <w:top w:val="nil"/>
          <w:left w:val="nil"/>
          <w:bottom w:val="nil"/>
          <w:right w:val="nil"/>
          <w:between w:val="nil"/>
        </w:pBdr>
        <w:ind w:left="360"/>
      </w:pPr>
      <w:r>
        <w:t>Non-profit support groups recomme</w:t>
      </w:r>
      <w:r>
        <w:t xml:space="preserve">nd that </w:t>
      </w:r>
      <w:r>
        <w:rPr>
          <w:rFonts w:ascii="Calibri" w:eastAsia="Calibri" w:hAnsi="Calibri" w:cs="Calibri"/>
          <w:color w:val="434343"/>
          <w:sz w:val="23"/>
          <w:szCs w:val="23"/>
          <w:highlight w:val="white"/>
        </w:rPr>
        <w:t xml:space="preserve">Board members understand how their fiduciary responsibilities relate to their duties of strategic planning, risk management and oversight. Board members are encouraged to spend some time each year discussing ways that the board could be exposed to </w:t>
      </w:r>
      <w:r>
        <w:rPr>
          <w:rFonts w:ascii="Calibri" w:eastAsia="Calibri" w:hAnsi="Calibri" w:cs="Calibri"/>
          <w:color w:val="434343"/>
          <w:sz w:val="23"/>
          <w:szCs w:val="23"/>
          <w:highlight w:val="white"/>
        </w:rPr>
        <w:t>liability for breaching their fiduciary duties.</w:t>
      </w:r>
      <w:r>
        <w:br/>
      </w:r>
    </w:p>
    <w:p w14:paraId="00000018" w14:textId="77777777" w:rsidR="002620A5" w:rsidRDefault="002620A5"/>
    <w:sectPr w:rsidR="002620A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FC5E2" w14:textId="77777777" w:rsidR="008B5DD4" w:rsidRDefault="008B5DD4" w:rsidP="00616154">
      <w:pPr>
        <w:spacing w:line="240" w:lineRule="auto"/>
      </w:pPr>
      <w:r>
        <w:separator/>
      </w:r>
    </w:p>
  </w:endnote>
  <w:endnote w:type="continuationSeparator" w:id="0">
    <w:p w14:paraId="77EE23BF" w14:textId="77777777" w:rsidR="008B5DD4" w:rsidRDefault="008B5DD4" w:rsidP="00616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4DB05" w14:textId="77777777" w:rsidR="008B5DD4" w:rsidRDefault="008B5DD4" w:rsidP="00616154">
      <w:pPr>
        <w:spacing w:line="240" w:lineRule="auto"/>
      </w:pPr>
      <w:r>
        <w:separator/>
      </w:r>
    </w:p>
  </w:footnote>
  <w:footnote w:type="continuationSeparator" w:id="0">
    <w:p w14:paraId="421C5E5B" w14:textId="77777777" w:rsidR="008B5DD4" w:rsidRDefault="008B5DD4" w:rsidP="006161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4BBE" w14:textId="1DB6D41B" w:rsidR="00616154" w:rsidRPr="00616154" w:rsidRDefault="00616154" w:rsidP="00616154">
    <w:pPr>
      <w:pStyle w:val="Header"/>
      <w:jc w:val="center"/>
      <w:rPr>
        <w:rFonts w:asciiTheme="majorHAnsi" w:hAnsiTheme="majorHAnsi" w:cstheme="majorHAnsi"/>
        <w:b/>
        <w:sz w:val="24"/>
      </w:rPr>
    </w:pPr>
    <w:r>
      <w:rPr>
        <w:rFonts w:asciiTheme="majorHAnsi" w:hAnsiTheme="majorHAnsi" w:cstheme="majorHAnsi"/>
        <w:b/>
        <w:sz w:val="24"/>
      </w:rPr>
      <w:t xml:space="preserve">Agenda Items for inclusion in the June 2019 </w:t>
    </w:r>
    <w:proofErr w:type="spellStart"/>
    <w:r>
      <w:rPr>
        <w:rFonts w:asciiTheme="majorHAnsi" w:hAnsiTheme="majorHAnsi" w:cstheme="majorHAnsi"/>
        <w:b/>
        <w:sz w:val="24"/>
      </w:rPr>
      <w:t>Jikoji</w:t>
    </w:r>
    <w:proofErr w:type="spellEnd"/>
    <w:r>
      <w:rPr>
        <w:rFonts w:asciiTheme="majorHAnsi" w:hAnsiTheme="majorHAnsi" w:cstheme="majorHAnsi"/>
        <w:b/>
        <w:sz w:val="24"/>
      </w:rPr>
      <w:t xml:space="preserve"> Board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F6A84"/>
    <w:multiLevelType w:val="multilevel"/>
    <w:tmpl w:val="523E78E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A73CFD"/>
    <w:multiLevelType w:val="multilevel"/>
    <w:tmpl w:val="113C8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A5"/>
    <w:rsid w:val="0005484A"/>
    <w:rsid w:val="002620A5"/>
    <w:rsid w:val="00616154"/>
    <w:rsid w:val="008B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0CAE"/>
  <w15:docId w15:val="{3D90A44A-0DD5-4568-992E-4B08C00F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16154"/>
    <w:pPr>
      <w:tabs>
        <w:tab w:val="center" w:pos="4680"/>
        <w:tab w:val="right" w:pos="9360"/>
      </w:tabs>
      <w:spacing w:line="240" w:lineRule="auto"/>
    </w:pPr>
  </w:style>
  <w:style w:type="character" w:customStyle="1" w:styleId="HeaderChar">
    <w:name w:val="Header Char"/>
    <w:basedOn w:val="DefaultParagraphFont"/>
    <w:link w:val="Header"/>
    <w:uiPriority w:val="99"/>
    <w:rsid w:val="00616154"/>
  </w:style>
  <w:style w:type="paragraph" w:styleId="Footer">
    <w:name w:val="footer"/>
    <w:basedOn w:val="Normal"/>
    <w:link w:val="FooterChar"/>
    <w:uiPriority w:val="99"/>
    <w:unhideWhenUsed/>
    <w:rsid w:val="00616154"/>
    <w:pPr>
      <w:tabs>
        <w:tab w:val="center" w:pos="4680"/>
        <w:tab w:val="right" w:pos="9360"/>
      </w:tabs>
      <w:spacing w:line="240" w:lineRule="auto"/>
    </w:pPr>
  </w:style>
  <w:style w:type="character" w:customStyle="1" w:styleId="FooterChar">
    <w:name w:val="Footer Char"/>
    <w:basedOn w:val="DefaultParagraphFont"/>
    <w:link w:val="Footer"/>
    <w:uiPriority w:val="99"/>
    <w:rsid w:val="0061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Melinda Jannett</cp:lastModifiedBy>
  <cp:revision>3</cp:revision>
  <dcterms:created xsi:type="dcterms:W3CDTF">2019-05-16T04:09:00Z</dcterms:created>
  <dcterms:modified xsi:type="dcterms:W3CDTF">2019-05-16T04:18:00Z</dcterms:modified>
</cp:coreProperties>
</file>